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6583" w:rsidRPr="00676255" w:rsidRDefault="00A06583" w:rsidP="00A06583">
      <w:pPr>
        <w:pStyle w:val="Heading3"/>
        <w:numPr>
          <w:ilvl w:val="0"/>
          <w:numId w:val="0"/>
        </w:numPr>
      </w:pPr>
      <w:bookmarkStart w:id="0" w:name="_Toc531150002"/>
      <w:bookmarkStart w:id="1" w:name="_GoBack"/>
      <w:bookmarkEnd w:id="1"/>
      <w:r w:rsidRPr="00676255">
        <w:t>Definitions of terminologies used in the study</w:t>
      </w:r>
      <w:bookmarkEnd w:id="0"/>
    </w:p>
    <w:p w:rsidR="00A06583" w:rsidRPr="00676255" w:rsidRDefault="00A06583" w:rsidP="00A06583">
      <w:pPr>
        <w:spacing w:line="360" w:lineRule="auto"/>
        <w:rPr>
          <w:szCs w:val="24"/>
        </w:rPr>
      </w:pPr>
      <w:r w:rsidRPr="00676255">
        <w:t>Sepsis was defined according to previous</w:t>
      </w:r>
      <w:r>
        <w:t>ly accepted sepsis 2 criteria</w:t>
      </w:r>
      <w:r w:rsidRPr="00676255">
        <w:t xml:space="preserve">. </w:t>
      </w:r>
      <w:r>
        <w:rPr>
          <w:szCs w:val="24"/>
        </w:rPr>
        <w:t>It was defined clinically when systemic inflammatory response s</w:t>
      </w:r>
      <w:r w:rsidRPr="00676255">
        <w:rPr>
          <w:szCs w:val="24"/>
        </w:rPr>
        <w:t xml:space="preserve">yndrome (SIRS) criteria such as tachycardia, </w:t>
      </w:r>
      <w:proofErr w:type="spellStart"/>
      <w:r w:rsidRPr="00676255">
        <w:rPr>
          <w:szCs w:val="24"/>
        </w:rPr>
        <w:t>tachypnoea</w:t>
      </w:r>
      <w:proofErr w:type="spellEnd"/>
      <w:r w:rsidRPr="00676255">
        <w:rPr>
          <w:szCs w:val="24"/>
        </w:rPr>
        <w:t xml:space="preserve"> and fever occurred in combination with a possible source of sepsis. </w:t>
      </w:r>
    </w:p>
    <w:p w:rsidR="00A06583" w:rsidRPr="00676255" w:rsidRDefault="00A06583" w:rsidP="00A06583">
      <w:pPr>
        <w:spacing w:line="360" w:lineRule="auto"/>
        <w:rPr>
          <w:szCs w:val="24"/>
        </w:rPr>
      </w:pPr>
      <w:r w:rsidRPr="00676255">
        <w:rPr>
          <w:szCs w:val="24"/>
        </w:rPr>
        <w:t>Sepsis was suspected if there was clinical suspicion of sepsis as defined above but negative microbiology cultures. Sepsis was confirmed if a clinically obvious source of infection was present or if microbiology cultures obtained from suspected sites of infection were positive.</w:t>
      </w:r>
    </w:p>
    <w:p w:rsidR="00A06583" w:rsidRPr="00676255" w:rsidRDefault="00A06583" w:rsidP="00A06583">
      <w:pPr>
        <w:spacing w:line="360" w:lineRule="auto"/>
        <w:rPr>
          <w:szCs w:val="24"/>
        </w:rPr>
      </w:pPr>
      <w:r w:rsidRPr="00676255">
        <w:rPr>
          <w:szCs w:val="24"/>
        </w:rPr>
        <w:t>Antibiotic dose duration was calculated by dividing number of total doses by number of daily doses. This gave more accuracy especially in cases of missed doses. To calculate antibiotic usage in cases of combination treatment, antibiotic dose duration was calculated from the antibiotic given the longest. If the antibiotic regimen was changed without interruption the antibiotic usage was calculated as a continuum for both antibiotics.</w:t>
      </w:r>
    </w:p>
    <w:p w:rsidR="00A06583" w:rsidRPr="00676255" w:rsidRDefault="00A06583" w:rsidP="00A06583">
      <w:pPr>
        <w:spacing w:line="360" w:lineRule="auto"/>
        <w:rPr>
          <w:szCs w:val="24"/>
        </w:rPr>
      </w:pPr>
      <w:r w:rsidRPr="00676255">
        <w:rPr>
          <w:szCs w:val="24"/>
        </w:rPr>
        <w:t>The intervention was done for every episode of sepsis with follow-up for a total of 28 days from the date of study inclusion or until discharge from hospital.</w:t>
      </w:r>
    </w:p>
    <w:p w:rsidR="00A06583" w:rsidRPr="00676255" w:rsidRDefault="00A06583" w:rsidP="00A06583">
      <w:pPr>
        <w:spacing w:line="360" w:lineRule="auto"/>
        <w:rPr>
          <w:szCs w:val="24"/>
        </w:rPr>
      </w:pPr>
      <w:r w:rsidRPr="00676255">
        <w:rPr>
          <w:szCs w:val="24"/>
        </w:rPr>
        <w:t>A relapse was defined as culture of at least one of the initial causative bacteria (same phenotype with ≤3 differences in the antimicrobial susceptibility profile and same species)</w:t>
      </w:r>
      <w:r>
        <w:rPr>
          <w:szCs w:val="24"/>
        </w:rPr>
        <w:t xml:space="preserve"> and same organ</w:t>
      </w:r>
      <w:r w:rsidRPr="00676255">
        <w:rPr>
          <w:szCs w:val="24"/>
        </w:rPr>
        <w:t xml:space="preserve"> occurring more than 48 hours after discontinuation of appropriate antibiotics and with accompanying clinical evidence of infection.</w:t>
      </w:r>
    </w:p>
    <w:p w:rsidR="00A06583" w:rsidRPr="00676255" w:rsidRDefault="00A06583" w:rsidP="00A06583">
      <w:pPr>
        <w:spacing w:line="360" w:lineRule="auto"/>
        <w:rPr>
          <w:szCs w:val="24"/>
        </w:rPr>
      </w:pPr>
      <w:r w:rsidRPr="00676255">
        <w:rPr>
          <w:szCs w:val="24"/>
        </w:rPr>
        <w:t>A hospital acquired infection (HAI) was defined as an infection acquired more than 48 hours after hospital admission and was not present prior to admission. A community acquired infection was defined as an infection that existed at admission and becomes apparent less than 48 hours after hospital admission.</w:t>
      </w:r>
    </w:p>
    <w:p w:rsidR="00A06583" w:rsidRPr="00676255" w:rsidRDefault="00A06583" w:rsidP="00A06583">
      <w:pPr>
        <w:spacing w:line="360" w:lineRule="auto"/>
        <w:rPr>
          <w:szCs w:val="24"/>
        </w:rPr>
      </w:pPr>
      <w:r w:rsidRPr="00676255">
        <w:rPr>
          <w:szCs w:val="24"/>
        </w:rPr>
        <w:t>Bacteria were defined as multi drug resistant (MDR) if they were not susceptible to at least one antibiotic in three or more antibiotic classes (</w:t>
      </w:r>
      <w:proofErr w:type="spellStart"/>
      <w:r w:rsidRPr="00676255">
        <w:rPr>
          <w:szCs w:val="24"/>
        </w:rPr>
        <w:t>Magiorakos</w:t>
      </w:r>
      <w:proofErr w:type="spellEnd"/>
      <w:r w:rsidRPr="00676255">
        <w:rPr>
          <w:szCs w:val="24"/>
        </w:rPr>
        <w:t xml:space="preserve"> et al. 2012). These bacteria included methicillin resistant </w:t>
      </w:r>
      <w:r w:rsidRPr="00676255">
        <w:rPr>
          <w:i/>
          <w:szCs w:val="24"/>
        </w:rPr>
        <w:t>Staphylococcus aureus</w:t>
      </w:r>
      <w:r w:rsidRPr="00676255">
        <w:rPr>
          <w:szCs w:val="24"/>
        </w:rPr>
        <w:t xml:space="preserve"> (MRSA), extended spectrum </w:t>
      </w:r>
      <w:r w:rsidRPr="00676255">
        <w:rPr>
          <w:rFonts w:ascii="Lucida Sans Unicode" w:hAnsi="Lucida Sans Unicode" w:cs="Lucida Sans Unicode"/>
          <w:szCs w:val="24"/>
        </w:rPr>
        <w:t>β</w:t>
      </w:r>
      <w:r w:rsidRPr="00676255">
        <w:rPr>
          <w:szCs w:val="24"/>
        </w:rPr>
        <w:t xml:space="preserve">-lactamase (ESBL) producing </w:t>
      </w:r>
      <w:proofErr w:type="spellStart"/>
      <w:r w:rsidRPr="00676255">
        <w:rPr>
          <w:i/>
          <w:szCs w:val="24"/>
        </w:rPr>
        <w:t>Enterobacteriaceae</w:t>
      </w:r>
      <w:proofErr w:type="spellEnd"/>
      <w:r w:rsidRPr="00676255">
        <w:rPr>
          <w:szCs w:val="24"/>
        </w:rPr>
        <w:t xml:space="preserve">, MDR </w:t>
      </w:r>
      <w:proofErr w:type="spellStart"/>
      <w:r w:rsidRPr="00676255">
        <w:rPr>
          <w:i/>
          <w:szCs w:val="24"/>
        </w:rPr>
        <w:t>Acinetobacter</w:t>
      </w:r>
      <w:proofErr w:type="spellEnd"/>
      <w:r w:rsidRPr="00676255">
        <w:rPr>
          <w:i/>
          <w:szCs w:val="24"/>
        </w:rPr>
        <w:t xml:space="preserve"> </w:t>
      </w:r>
      <w:proofErr w:type="spellStart"/>
      <w:r w:rsidRPr="00676255">
        <w:rPr>
          <w:i/>
          <w:szCs w:val="24"/>
        </w:rPr>
        <w:t>baumannii</w:t>
      </w:r>
      <w:proofErr w:type="spellEnd"/>
      <w:r w:rsidRPr="00676255">
        <w:rPr>
          <w:i/>
          <w:szCs w:val="24"/>
        </w:rPr>
        <w:t xml:space="preserve"> </w:t>
      </w:r>
      <w:r w:rsidRPr="00676255">
        <w:rPr>
          <w:szCs w:val="24"/>
        </w:rPr>
        <w:t xml:space="preserve">and MDR </w:t>
      </w:r>
      <w:r w:rsidRPr="00676255">
        <w:rPr>
          <w:i/>
          <w:szCs w:val="24"/>
        </w:rPr>
        <w:t>Pseudomonas aeruginosa</w:t>
      </w:r>
      <w:r w:rsidRPr="00676255">
        <w:rPr>
          <w:szCs w:val="24"/>
        </w:rPr>
        <w:t>.</w:t>
      </w:r>
    </w:p>
    <w:p w:rsidR="002D1CAC" w:rsidRDefault="00A06583" w:rsidP="00A06583">
      <w:r w:rsidRPr="00676255">
        <w:rPr>
          <w:szCs w:val="24"/>
        </w:rPr>
        <w:t>Antibiotics were considered appropriate if including at least one drug to which the isolate was susceptible and appropriate for the site of infection</w:t>
      </w:r>
    </w:p>
    <w:sectPr w:rsidR="002D1C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5F13A3"/>
    <w:multiLevelType w:val="multilevel"/>
    <w:tmpl w:val="7FD6A294"/>
    <w:lvl w:ilvl="0">
      <w:start w:val="1"/>
      <w:numFmt w:val="decimal"/>
      <w:pStyle w:val="Heading1"/>
      <w:lvlText w:val="CHAPTER - %1."/>
      <w:lvlJc w:val="left"/>
      <w:pPr>
        <w:ind w:left="360" w:hanging="360"/>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583"/>
    <w:rsid w:val="002D1CAC"/>
    <w:rsid w:val="006973BC"/>
    <w:rsid w:val="00A06583"/>
    <w:rsid w:val="00DB1D6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4925F"/>
  <w15:chartTrackingRefBased/>
  <w15:docId w15:val="{A0DE9585-5975-468B-BA36-FCCDCB69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6583"/>
    <w:pPr>
      <w:spacing w:after="200" w:line="276" w:lineRule="auto"/>
    </w:pPr>
    <w:rPr>
      <w:rFonts w:ascii="Times New Roman" w:eastAsia="Calibri" w:hAnsi="Times New Roman" w:cs="Times New Roman"/>
      <w:sz w:val="24"/>
      <w:lang w:val="en-GB"/>
    </w:rPr>
  </w:style>
  <w:style w:type="paragraph" w:styleId="Heading1">
    <w:name w:val="heading 1"/>
    <w:basedOn w:val="Normal"/>
    <w:next w:val="Normal"/>
    <w:link w:val="Heading1Char"/>
    <w:uiPriority w:val="9"/>
    <w:qFormat/>
    <w:rsid w:val="00A06583"/>
    <w:pPr>
      <w:keepNext/>
      <w:keepLines/>
      <w:numPr>
        <w:numId w:val="1"/>
      </w:numPr>
      <w:spacing w:before="480" w:after="0"/>
      <w:outlineLvl w:val="0"/>
    </w:pPr>
    <w:rPr>
      <w:rFonts w:ascii="Cambria" w:eastAsia="Times New Roman" w:hAnsi="Cambria"/>
      <w:b/>
      <w:bCs/>
      <w:sz w:val="28"/>
      <w:szCs w:val="28"/>
    </w:rPr>
  </w:style>
  <w:style w:type="paragraph" w:styleId="Heading2">
    <w:name w:val="heading 2"/>
    <w:basedOn w:val="Normal"/>
    <w:next w:val="Normal"/>
    <w:link w:val="Heading2Char"/>
    <w:uiPriority w:val="9"/>
    <w:qFormat/>
    <w:rsid w:val="00A06583"/>
    <w:pPr>
      <w:keepNext/>
      <w:keepLines/>
      <w:numPr>
        <w:ilvl w:val="1"/>
        <w:numId w:val="1"/>
      </w:numPr>
      <w:spacing w:before="200" w:after="0" w:line="360" w:lineRule="auto"/>
      <w:outlineLvl w:val="1"/>
    </w:pPr>
    <w:rPr>
      <w:rFonts w:ascii="Cambria" w:eastAsia="Times New Roman" w:hAnsi="Cambria"/>
      <w:b/>
      <w:bCs/>
      <w:color w:val="000000"/>
      <w:sz w:val="26"/>
      <w:szCs w:val="26"/>
    </w:rPr>
  </w:style>
  <w:style w:type="paragraph" w:styleId="Heading3">
    <w:name w:val="heading 3"/>
    <w:basedOn w:val="Normal"/>
    <w:next w:val="Normal"/>
    <w:link w:val="Heading3Char"/>
    <w:uiPriority w:val="9"/>
    <w:qFormat/>
    <w:rsid w:val="00A06583"/>
    <w:pPr>
      <w:keepNext/>
      <w:keepLines/>
      <w:numPr>
        <w:ilvl w:val="2"/>
        <w:numId w:val="1"/>
      </w:numPr>
      <w:spacing w:before="200" w:after="0"/>
      <w:outlineLvl w:val="2"/>
    </w:pPr>
    <w:rPr>
      <w:rFonts w:ascii="Cambria" w:eastAsia="Times New Roman" w:hAnsi="Cambria"/>
      <w:b/>
      <w:bCs/>
    </w:rPr>
  </w:style>
  <w:style w:type="paragraph" w:styleId="Heading4">
    <w:name w:val="heading 4"/>
    <w:basedOn w:val="Normal"/>
    <w:next w:val="Normal"/>
    <w:link w:val="Heading4Char"/>
    <w:uiPriority w:val="9"/>
    <w:qFormat/>
    <w:rsid w:val="00A06583"/>
    <w:pPr>
      <w:keepNext/>
      <w:numPr>
        <w:ilvl w:val="3"/>
        <w:numId w:val="1"/>
      </w:numPr>
      <w:spacing w:before="240" w:after="60"/>
      <w:outlineLvl w:val="3"/>
    </w:pPr>
    <w:rPr>
      <w:rFonts w:eastAsia="Times New Roman"/>
      <w:b/>
      <w:bCs/>
      <w:sz w:val="28"/>
      <w:szCs w:val="28"/>
    </w:rPr>
  </w:style>
  <w:style w:type="paragraph" w:styleId="Heading5">
    <w:name w:val="heading 5"/>
    <w:basedOn w:val="Normal"/>
    <w:next w:val="Normal"/>
    <w:link w:val="Heading5Char"/>
    <w:uiPriority w:val="9"/>
    <w:qFormat/>
    <w:rsid w:val="00A06583"/>
    <w:pPr>
      <w:numPr>
        <w:ilvl w:val="4"/>
        <w:numId w:val="1"/>
      </w:numPr>
      <w:spacing w:before="240" w:after="60"/>
      <w:outlineLvl w:val="4"/>
    </w:pPr>
    <w:rPr>
      <w:rFonts w:eastAsia="Times New Roman"/>
      <w:b/>
      <w:bCs/>
      <w:i/>
      <w:iCs/>
      <w:sz w:val="26"/>
      <w:szCs w:val="26"/>
    </w:rPr>
  </w:style>
  <w:style w:type="paragraph" w:styleId="Heading6">
    <w:name w:val="heading 6"/>
    <w:basedOn w:val="Normal"/>
    <w:next w:val="Normal"/>
    <w:link w:val="Heading6Char"/>
    <w:uiPriority w:val="9"/>
    <w:qFormat/>
    <w:rsid w:val="00A06583"/>
    <w:pPr>
      <w:numPr>
        <w:ilvl w:val="5"/>
        <w:numId w:val="1"/>
      </w:numPr>
      <w:spacing w:before="240" w:after="60"/>
      <w:outlineLvl w:val="5"/>
    </w:pPr>
    <w:rPr>
      <w:rFonts w:eastAsia="Times New Roman"/>
      <w:b/>
      <w:bCs/>
    </w:rPr>
  </w:style>
  <w:style w:type="paragraph" w:styleId="Heading7">
    <w:name w:val="heading 7"/>
    <w:basedOn w:val="Normal"/>
    <w:next w:val="Normal"/>
    <w:link w:val="Heading7Char"/>
    <w:uiPriority w:val="9"/>
    <w:qFormat/>
    <w:rsid w:val="00A06583"/>
    <w:pPr>
      <w:numPr>
        <w:ilvl w:val="6"/>
        <w:numId w:val="1"/>
      </w:numPr>
      <w:spacing w:before="240" w:after="60"/>
      <w:outlineLvl w:val="6"/>
    </w:pPr>
    <w:rPr>
      <w:rFonts w:eastAsia="Times New Roman"/>
      <w:szCs w:val="24"/>
    </w:rPr>
  </w:style>
  <w:style w:type="paragraph" w:styleId="Heading8">
    <w:name w:val="heading 8"/>
    <w:basedOn w:val="Normal"/>
    <w:next w:val="Normal"/>
    <w:link w:val="Heading8Char"/>
    <w:uiPriority w:val="9"/>
    <w:qFormat/>
    <w:rsid w:val="00A06583"/>
    <w:pPr>
      <w:numPr>
        <w:ilvl w:val="7"/>
        <w:numId w:val="1"/>
      </w:numPr>
      <w:spacing w:before="240" w:after="60"/>
      <w:outlineLvl w:val="7"/>
    </w:pPr>
    <w:rPr>
      <w:rFonts w:eastAsia="Times New Roman"/>
      <w:i/>
      <w:iCs/>
      <w:szCs w:val="24"/>
    </w:rPr>
  </w:style>
  <w:style w:type="paragraph" w:styleId="Heading9">
    <w:name w:val="heading 9"/>
    <w:basedOn w:val="Normal"/>
    <w:next w:val="Normal"/>
    <w:link w:val="Heading9Char"/>
    <w:uiPriority w:val="9"/>
    <w:qFormat/>
    <w:rsid w:val="00A06583"/>
    <w:pPr>
      <w:numPr>
        <w:ilvl w:val="8"/>
        <w:numId w:val="1"/>
      </w:numPr>
      <w:spacing w:before="240" w:after="60"/>
      <w:outlineLvl w:val="8"/>
    </w:pPr>
    <w:rPr>
      <w:rFonts w:ascii="Cambria" w:eastAsia="Times New Roman"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583"/>
    <w:rPr>
      <w:rFonts w:ascii="Cambria" w:eastAsia="Times New Roman" w:hAnsi="Cambria" w:cs="Times New Roman"/>
      <w:b/>
      <w:bCs/>
      <w:sz w:val="28"/>
      <w:szCs w:val="28"/>
      <w:lang w:val="en-GB"/>
    </w:rPr>
  </w:style>
  <w:style w:type="character" w:customStyle="1" w:styleId="Heading2Char">
    <w:name w:val="Heading 2 Char"/>
    <w:basedOn w:val="DefaultParagraphFont"/>
    <w:link w:val="Heading2"/>
    <w:uiPriority w:val="9"/>
    <w:rsid w:val="00A06583"/>
    <w:rPr>
      <w:rFonts w:ascii="Cambria" w:eastAsia="Times New Roman" w:hAnsi="Cambria" w:cs="Times New Roman"/>
      <w:b/>
      <w:bCs/>
      <w:color w:val="000000"/>
      <w:sz w:val="26"/>
      <w:szCs w:val="26"/>
      <w:lang w:val="en-GB"/>
    </w:rPr>
  </w:style>
  <w:style w:type="character" w:customStyle="1" w:styleId="Heading3Char">
    <w:name w:val="Heading 3 Char"/>
    <w:basedOn w:val="DefaultParagraphFont"/>
    <w:link w:val="Heading3"/>
    <w:uiPriority w:val="9"/>
    <w:rsid w:val="00A06583"/>
    <w:rPr>
      <w:rFonts w:ascii="Cambria" w:eastAsia="Times New Roman" w:hAnsi="Cambria" w:cs="Times New Roman"/>
      <w:b/>
      <w:bCs/>
      <w:sz w:val="24"/>
      <w:lang w:val="en-GB"/>
    </w:rPr>
  </w:style>
  <w:style w:type="character" w:customStyle="1" w:styleId="Heading4Char">
    <w:name w:val="Heading 4 Char"/>
    <w:basedOn w:val="DefaultParagraphFont"/>
    <w:link w:val="Heading4"/>
    <w:uiPriority w:val="9"/>
    <w:rsid w:val="00A06583"/>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uiPriority w:val="9"/>
    <w:rsid w:val="00A06583"/>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uiPriority w:val="9"/>
    <w:rsid w:val="00A06583"/>
    <w:rPr>
      <w:rFonts w:ascii="Times New Roman" w:eastAsia="Times New Roman" w:hAnsi="Times New Roman" w:cs="Times New Roman"/>
      <w:b/>
      <w:bCs/>
      <w:sz w:val="24"/>
      <w:lang w:val="en-GB"/>
    </w:rPr>
  </w:style>
  <w:style w:type="character" w:customStyle="1" w:styleId="Heading7Char">
    <w:name w:val="Heading 7 Char"/>
    <w:basedOn w:val="DefaultParagraphFont"/>
    <w:link w:val="Heading7"/>
    <w:uiPriority w:val="9"/>
    <w:rsid w:val="00A06583"/>
    <w:rPr>
      <w:rFonts w:ascii="Times New Roman" w:eastAsia="Times New Roman" w:hAnsi="Times New Roman" w:cs="Times New Roman"/>
      <w:sz w:val="24"/>
      <w:szCs w:val="24"/>
      <w:lang w:val="en-GB"/>
    </w:rPr>
  </w:style>
  <w:style w:type="character" w:customStyle="1" w:styleId="Heading8Char">
    <w:name w:val="Heading 8 Char"/>
    <w:basedOn w:val="DefaultParagraphFont"/>
    <w:link w:val="Heading8"/>
    <w:uiPriority w:val="9"/>
    <w:rsid w:val="00A06583"/>
    <w:rPr>
      <w:rFonts w:ascii="Times New Roman" w:eastAsia="Times New Roman" w:hAnsi="Times New Roman" w:cs="Times New Roman"/>
      <w:i/>
      <w:iCs/>
      <w:sz w:val="24"/>
      <w:szCs w:val="24"/>
      <w:lang w:val="en-GB"/>
    </w:rPr>
  </w:style>
  <w:style w:type="character" w:customStyle="1" w:styleId="Heading9Char">
    <w:name w:val="Heading 9 Char"/>
    <w:basedOn w:val="DefaultParagraphFont"/>
    <w:link w:val="Heading9"/>
    <w:uiPriority w:val="9"/>
    <w:rsid w:val="00A06583"/>
    <w:rPr>
      <w:rFonts w:ascii="Cambria" w:eastAsia="Times New Roman" w:hAnsi="Cambria"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349</Words>
  <Characters>1991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Rispah Chomba</dc:creator>
  <cp:keywords/>
  <dc:description/>
  <cp:lastModifiedBy>Rispah Chomba</cp:lastModifiedBy>
  <cp:revision>2</cp:revision>
  <dcterms:created xsi:type="dcterms:W3CDTF">2019-07-29T09:27:00Z</dcterms:created>
  <dcterms:modified xsi:type="dcterms:W3CDTF">2019-07-29T09:45:00Z</dcterms:modified>
</cp:coreProperties>
</file>